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B5667" w14:textId="77777777" w:rsidR="004333C8" w:rsidRPr="00652E92" w:rsidRDefault="004333C8" w:rsidP="004333C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75CE6C5B" w14:textId="77777777" w:rsidR="004333C8" w:rsidRPr="00652E92" w:rsidRDefault="004333C8" w:rsidP="004333C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B1FCF14" w14:textId="77777777" w:rsidR="004333C8" w:rsidRPr="00652E92" w:rsidRDefault="004333C8" w:rsidP="004333C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822</w:t>
      </w:r>
    </w:p>
    <w:p w14:paraId="5E57FB05" w14:textId="77777777" w:rsidR="004333C8" w:rsidRDefault="004333C8" w:rsidP="004333C8">
      <w:pPr>
        <w:widowControl w:val="0"/>
        <w:bidi/>
        <w:spacing w:after="0"/>
        <w:ind w:firstLine="284"/>
        <w:jc w:val="both"/>
        <w:rPr>
          <w:rFonts w:cs="Abz-2 (Badr)"/>
          <w:sz w:val="28"/>
          <w:szCs w:val="28"/>
          <w:rtl/>
          <w:lang w:bidi="fa-IR"/>
        </w:rPr>
      </w:pPr>
      <w:bookmarkStart w:id="0" w:name="_Hlk159096966"/>
    </w:p>
    <w:bookmarkEnd w:id="0"/>
    <w:p w14:paraId="7045D6F7" w14:textId="77777777" w:rsidR="004333C8" w:rsidRPr="00A01D2F" w:rsidRDefault="004333C8" w:rsidP="004333C8">
      <w:pPr>
        <w:pStyle w:val="NormalWeb"/>
        <w:widowControl w:val="0"/>
        <w:bidi/>
        <w:spacing w:before="0" w:beforeAutospacing="0" w:after="0" w:afterAutospacing="0" w:line="254" w:lineRule="auto"/>
        <w:ind w:firstLine="284"/>
        <w:jc w:val="both"/>
        <w:rPr>
          <w:rFonts w:cs="Abz-2 (Badr)"/>
          <w:color w:val="FF0000"/>
          <w:sz w:val="28"/>
          <w:szCs w:val="28"/>
          <w:rtl/>
          <w:lang w:bidi="fa-IR"/>
        </w:rPr>
      </w:pPr>
      <w:r w:rsidRPr="00A01D2F">
        <w:rPr>
          <w:rFonts w:cs="Abz-2 (Badr)" w:hint="cs"/>
          <w:color w:val="FF0000"/>
          <w:sz w:val="28"/>
          <w:szCs w:val="28"/>
          <w:rtl/>
          <w:lang w:bidi="fa-IR"/>
        </w:rPr>
        <w:t xml:space="preserve">مورد سوم: </w:t>
      </w:r>
      <w:r>
        <w:rPr>
          <w:rFonts w:cs="Abz-2 (Badr)" w:hint="cs"/>
          <w:color w:val="FF0000"/>
          <w:sz w:val="28"/>
          <w:szCs w:val="28"/>
          <w:rtl/>
          <w:lang w:bidi="fa-IR"/>
        </w:rPr>
        <w:t>مجنون</w:t>
      </w:r>
      <w:r w:rsidRPr="00A01D2F">
        <w:rPr>
          <w:rFonts w:cs="Abz-2 (Badr)" w:hint="cs"/>
          <w:color w:val="FF0000"/>
          <w:sz w:val="28"/>
          <w:szCs w:val="28"/>
          <w:rtl/>
          <w:lang w:bidi="fa-IR"/>
        </w:rPr>
        <w:t xml:space="preserve"> بودن مادر</w:t>
      </w:r>
    </w:p>
    <w:p w14:paraId="4254AE01" w14:textId="77777777" w:rsidR="004333C8" w:rsidRPr="00CD3964" w:rsidRDefault="004333C8" w:rsidP="004333C8">
      <w:pPr>
        <w:pStyle w:val="NormalWeb"/>
        <w:widowControl w:val="0"/>
        <w:bidi/>
        <w:spacing w:before="0" w:beforeAutospacing="0" w:after="0" w:afterAutospacing="0" w:line="254" w:lineRule="auto"/>
        <w:ind w:firstLine="284"/>
        <w:jc w:val="both"/>
        <w:rPr>
          <w:rFonts w:cs="Abz-2 (Badr)"/>
          <w:color w:val="0070C0"/>
          <w:sz w:val="28"/>
          <w:szCs w:val="28"/>
          <w:rtl/>
          <w:lang w:bidi="ar"/>
        </w:rPr>
      </w:pPr>
      <w:r>
        <w:rPr>
          <w:rFonts w:cs="Abz-2 (Badr)" w:hint="cs"/>
          <w:color w:val="000000" w:themeColor="text1"/>
          <w:sz w:val="28"/>
          <w:szCs w:val="28"/>
          <w:rtl/>
          <w:lang w:bidi="fa-IR"/>
        </w:rPr>
        <w:t>شهيد ثانی در خصوص اعتبار عقل در حق حضانت مادر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CD3964">
        <w:rPr>
          <w:rFonts w:cs="Abz-2 (Badr)" w:hint="cs"/>
          <w:color w:val="0070C0"/>
          <w:sz w:val="28"/>
          <w:szCs w:val="28"/>
          <w:rtl/>
          <w:lang w:bidi="fa-IR"/>
        </w:rPr>
        <w:t>«</w:t>
      </w:r>
      <w:r w:rsidRPr="00CD3964">
        <w:rPr>
          <w:rFonts w:cs="Abz-2 (Badr)"/>
          <w:color w:val="0070C0"/>
          <w:sz w:val="28"/>
          <w:szCs w:val="28"/>
          <w:rtl/>
          <w:lang w:bidi="ar"/>
        </w:rPr>
        <w:t>المجنونة لا حضانة لها، لأن</w:t>
      </w:r>
      <w:r w:rsidRPr="00CD3964">
        <w:rPr>
          <w:rFonts w:cs="Abz-2 (Badr)" w:hint="cs"/>
          <w:color w:val="0070C0"/>
          <w:sz w:val="28"/>
          <w:szCs w:val="28"/>
          <w:rtl/>
          <w:lang w:bidi="ar"/>
        </w:rPr>
        <w:t>ّ</w:t>
      </w:r>
      <w:r w:rsidRPr="00CD3964">
        <w:rPr>
          <w:rFonts w:cs="Abz-2 (Badr)"/>
          <w:color w:val="0070C0"/>
          <w:sz w:val="28"/>
          <w:szCs w:val="28"/>
          <w:rtl/>
          <w:lang w:bidi="ar"/>
        </w:rPr>
        <w:t xml:space="preserve"> المجنون لا يتأتّى منه الحفظ والتعهّد، بل هو في نفسه محتاج إلى من يحضنه.</w:t>
      </w:r>
    </w:p>
    <w:p w14:paraId="45A421F9" w14:textId="77777777" w:rsidR="004333C8" w:rsidRPr="00CD3964" w:rsidRDefault="004333C8" w:rsidP="004333C8">
      <w:pPr>
        <w:pStyle w:val="NormalWeb"/>
        <w:widowControl w:val="0"/>
        <w:bidi/>
        <w:spacing w:before="0" w:beforeAutospacing="0" w:after="0" w:afterAutospacing="0" w:line="254" w:lineRule="auto"/>
        <w:ind w:firstLine="284"/>
        <w:jc w:val="both"/>
        <w:rPr>
          <w:rFonts w:cs="Abz-2 (Badr)"/>
          <w:color w:val="0070C0"/>
          <w:spacing w:val="-6"/>
          <w:sz w:val="28"/>
          <w:szCs w:val="28"/>
          <w:rtl/>
          <w:lang w:bidi="ar"/>
        </w:rPr>
      </w:pPr>
      <w:r w:rsidRPr="00CD3964">
        <w:rPr>
          <w:rFonts w:cs="Abz-2 (Badr)"/>
          <w:color w:val="0070C0"/>
          <w:spacing w:val="-6"/>
          <w:sz w:val="28"/>
          <w:szCs w:val="28"/>
          <w:rtl/>
          <w:lang w:bidi="ar"/>
        </w:rPr>
        <w:t>ولا فرق بين أن يكون الجنون مطبقا</w:t>
      </w:r>
      <w:r w:rsidRPr="00CD3964">
        <w:rPr>
          <w:rFonts w:cs="Abz-2 (Badr)" w:hint="cs"/>
          <w:color w:val="0070C0"/>
          <w:spacing w:val="-6"/>
          <w:sz w:val="28"/>
          <w:szCs w:val="28"/>
          <w:rtl/>
          <w:lang w:bidi="ar"/>
        </w:rPr>
        <w:t>ً</w:t>
      </w:r>
      <w:r w:rsidRPr="00CD3964">
        <w:rPr>
          <w:rFonts w:cs="Abz-2 (Badr)"/>
          <w:color w:val="0070C0"/>
          <w:spacing w:val="-6"/>
          <w:sz w:val="28"/>
          <w:szCs w:val="28"/>
          <w:rtl/>
          <w:lang w:bidi="ar"/>
        </w:rPr>
        <w:t xml:space="preserve"> أو منقطعا</w:t>
      </w:r>
      <w:r w:rsidRPr="00CD3964">
        <w:rPr>
          <w:rFonts w:cs="Abz-2 (Badr)" w:hint="cs"/>
          <w:color w:val="0070C0"/>
          <w:spacing w:val="-6"/>
          <w:sz w:val="28"/>
          <w:szCs w:val="28"/>
          <w:rtl/>
          <w:lang w:bidi="ar"/>
        </w:rPr>
        <w:t>ً</w:t>
      </w:r>
      <w:r w:rsidRPr="00CD3964">
        <w:rPr>
          <w:rFonts w:cs="Abz-2 (Badr)"/>
          <w:color w:val="0070C0"/>
          <w:spacing w:val="-6"/>
          <w:sz w:val="28"/>
          <w:szCs w:val="28"/>
          <w:rtl/>
          <w:lang w:bidi="ar"/>
        </w:rPr>
        <w:t>، إلا إذا وقع نادرا</w:t>
      </w:r>
      <w:r w:rsidRPr="00CD3964">
        <w:rPr>
          <w:rFonts w:cs="Abz-2 (Badr)" w:hint="cs"/>
          <w:color w:val="0070C0"/>
          <w:spacing w:val="-6"/>
          <w:sz w:val="28"/>
          <w:szCs w:val="28"/>
          <w:rtl/>
          <w:lang w:bidi="ar"/>
        </w:rPr>
        <w:t>ً</w:t>
      </w:r>
      <w:r w:rsidRPr="00CD3964">
        <w:rPr>
          <w:rFonts w:cs="Abz-2 (Badr)"/>
          <w:color w:val="0070C0"/>
          <w:spacing w:val="-6"/>
          <w:sz w:val="28"/>
          <w:szCs w:val="28"/>
          <w:rtl/>
          <w:lang w:bidi="ar"/>
        </w:rPr>
        <w:t xml:space="preserve"> ولا تطول مدّته، فلا يبطل الحقّ‌، بل هو كمرض يطرأ ويزول.</w:t>
      </w:r>
    </w:p>
    <w:p w14:paraId="44B81D7B" w14:textId="77777777" w:rsidR="004333C8" w:rsidRPr="00CD3964" w:rsidRDefault="004333C8" w:rsidP="004333C8">
      <w:pPr>
        <w:pStyle w:val="NormalWeb"/>
        <w:widowControl w:val="0"/>
        <w:bidi/>
        <w:spacing w:before="0" w:beforeAutospacing="0" w:after="0" w:afterAutospacing="0" w:line="254" w:lineRule="auto"/>
        <w:ind w:firstLine="284"/>
        <w:jc w:val="both"/>
        <w:rPr>
          <w:rFonts w:cs="Abz-2 (Badr)"/>
          <w:color w:val="0070C0"/>
          <w:sz w:val="28"/>
          <w:szCs w:val="28"/>
          <w:rtl/>
          <w:lang w:bidi="ar"/>
        </w:rPr>
      </w:pPr>
      <w:r w:rsidRPr="00CD3964">
        <w:rPr>
          <w:rFonts w:cs="Abz-2 (Badr)"/>
          <w:color w:val="0070C0"/>
          <w:sz w:val="28"/>
          <w:szCs w:val="28"/>
          <w:rtl/>
          <w:lang w:bidi="ar"/>
        </w:rPr>
        <w:t xml:space="preserve">وفي إلحاق المرض المزمن الذي لا يرجى زواله </w:t>
      </w:r>
      <w:r w:rsidRPr="00CD3964">
        <w:rPr>
          <w:rFonts w:cs="Abz-2 (Badr)" w:hint="cs"/>
          <w:color w:val="0070C0"/>
          <w:sz w:val="28"/>
          <w:szCs w:val="28"/>
          <w:rtl/>
          <w:lang w:bidi="ar"/>
        </w:rPr>
        <w:t xml:space="preserve">ـ </w:t>
      </w:r>
      <w:r w:rsidRPr="00CD3964">
        <w:rPr>
          <w:rFonts w:cs="Abz-2 (Badr)"/>
          <w:color w:val="0070C0"/>
          <w:sz w:val="28"/>
          <w:szCs w:val="28"/>
          <w:rtl/>
          <w:lang w:bidi="ar"/>
        </w:rPr>
        <w:t xml:space="preserve">كالسلّ‌ والفالج </w:t>
      </w:r>
      <w:r w:rsidRPr="00CD3964">
        <w:rPr>
          <w:rFonts w:cs="Abz-2 (Badr)" w:hint="cs"/>
          <w:color w:val="0070C0"/>
          <w:sz w:val="28"/>
          <w:szCs w:val="28"/>
          <w:rtl/>
          <w:lang w:bidi="ar"/>
        </w:rPr>
        <w:t xml:space="preserve">ـ </w:t>
      </w:r>
      <w:r w:rsidRPr="00CD3964">
        <w:rPr>
          <w:rFonts w:cs="Abz-2 (Badr)"/>
          <w:color w:val="0070C0"/>
          <w:sz w:val="28"/>
          <w:szCs w:val="28"/>
          <w:rtl/>
          <w:lang w:bidi="ar"/>
        </w:rPr>
        <w:t>بحيث يشغله الألم عن كفالته وتدبير أمره به وجهان، من اشتراكهما في المعنى المانع من مباشرة الحفظ، وأصالة عدم سقوط الولاية مع إمكان تحصيلها بالاستنابة، وبه يفرّق بينه وبين الجنون.</w:t>
      </w:r>
    </w:p>
    <w:p w14:paraId="664FD139" w14:textId="77777777" w:rsidR="004333C8" w:rsidRDefault="004333C8" w:rsidP="004333C8">
      <w:pPr>
        <w:pStyle w:val="NormalWeb"/>
        <w:widowControl w:val="0"/>
        <w:bidi/>
        <w:spacing w:before="0" w:beforeAutospacing="0" w:after="0" w:afterAutospacing="0" w:line="254" w:lineRule="auto"/>
        <w:ind w:firstLine="284"/>
        <w:jc w:val="both"/>
        <w:rPr>
          <w:rFonts w:cs="Abz-2 (Badr)"/>
          <w:color w:val="0070C0"/>
          <w:sz w:val="28"/>
          <w:szCs w:val="28"/>
          <w:rtl/>
          <w:lang w:bidi="ar"/>
        </w:rPr>
      </w:pPr>
      <w:r w:rsidRPr="00CD3964">
        <w:rPr>
          <w:rFonts w:cs="Abz-2 (Badr)"/>
          <w:color w:val="0070C0"/>
          <w:sz w:val="28"/>
          <w:szCs w:val="28"/>
          <w:rtl/>
          <w:lang w:bidi="ar"/>
        </w:rPr>
        <w:t>ولم يعتبر المصن</w:t>
      </w:r>
      <w:r w:rsidRPr="00CD3964">
        <w:rPr>
          <w:rFonts w:cs="Abz-2 (Badr)" w:hint="cs"/>
          <w:color w:val="0070C0"/>
          <w:sz w:val="28"/>
          <w:szCs w:val="28"/>
          <w:rtl/>
          <w:lang w:bidi="ar"/>
        </w:rPr>
        <w:t>ّ</w:t>
      </w:r>
      <w:r w:rsidRPr="00CD3964">
        <w:rPr>
          <w:rFonts w:cs="Abz-2 (Badr)"/>
          <w:color w:val="0070C0"/>
          <w:sz w:val="28"/>
          <w:szCs w:val="28"/>
          <w:rtl/>
          <w:lang w:bidi="ar"/>
        </w:rPr>
        <w:t>ف شرط العقل ولابدّ منه.</w:t>
      </w:r>
      <w:r w:rsidRPr="00CD3964">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1"/>
      </w:r>
    </w:p>
    <w:p w14:paraId="1F1A53DF" w14:textId="77777777" w:rsidR="004333C8" w:rsidRPr="00CD3964" w:rsidRDefault="004333C8" w:rsidP="004333C8">
      <w:pPr>
        <w:pStyle w:val="NormalWeb"/>
        <w:widowControl w:val="0"/>
        <w:bidi/>
        <w:spacing w:before="0" w:beforeAutospacing="0" w:after="0" w:afterAutospacing="0" w:line="254" w:lineRule="auto"/>
        <w:ind w:firstLine="284"/>
        <w:jc w:val="both"/>
        <w:rPr>
          <w:rFonts w:cs="Abz-2 (Badr)"/>
          <w:color w:val="0070C0"/>
          <w:sz w:val="28"/>
          <w:szCs w:val="28"/>
          <w:rtl/>
          <w:lang w:bidi="fa-IR"/>
        </w:rPr>
      </w:pPr>
      <w:r w:rsidRPr="007D7EC0">
        <w:rPr>
          <w:rFonts w:cs="Abz-2 (Badr)" w:hint="cs"/>
          <w:color w:val="000000" w:themeColor="text1"/>
          <w:spacing w:val="-2"/>
          <w:sz w:val="28"/>
          <w:szCs w:val="28"/>
          <w:rtl/>
          <w:lang w:bidi="ar"/>
        </w:rPr>
        <w:t>کاشف اللثام نيز می</w:t>
      </w:r>
      <w:r w:rsidRPr="007D7EC0">
        <w:rPr>
          <w:rFonts w:cs="Abz-2 (Badr)"/>
          <w:color w:val="000000" w:themeColor="text1"/>
          <w:spacing w:val="-2"/>
          <w:sz w:val="28"/>
          <w:szCs w:val="28"/>
          <w:rtl/>
          <w:lang w:bidi="ar"/>
        </w:rPr>
        <w:softHyphen/>
      </w:r>
      <w:r w:rsidRPr="007D7EC0">
        <w:rPr>
          <w:rFonts w:cs="Abz-2 (Badr)" w:hint="cs"/>
          <w:color w:val="000000" w:themeColor="text1"/>
          <w:spacing w:val="-2"/>
          <w:sz w:val="28"/>
          <w:szCs w:val="28"/>
          <w:rtl/>
          <w:lang w:bidi="ar"/>
        </w:rPr>
        <w:t xml:space="preserve">فرمايد: </w:t>
      </w:r>
      <w:r w:rsidRPr="007D7EC0">
        <w:rPr>
          <w:rFonts w:cs="Abz-2 (Badr)" w:hint="cs"/>
          <w:color w:val="0070C0"/>
          <w:spacing w:val="-2"/>
          <w:sz w:val="28"/>
          <w:szCs w:val="28"/>
          <w:rtl/>
          <w:lang w:bidi="ar"/>
        </w:rPr>
        <w:t>«</w:t>
      </w:r>
      <w:r w:rsidRPr="00CD3964">
        <w:rPr>
          <w:rFonts w:cs="Abz-2 (Badr)"/>
          <w:color w:val="0070C0"/>
          <w:spacing w:val="-2"/>
          <w:sz w:val="28"/>
          <w:szCs w:val="28"/>
          <w:rtl/>
          <w:lang w:bidi="ar"/>
        </w:rPr>
        <w:t>وأمّا اشتراط الحرّيّة والإسلام والعقل في الأ</w:t>
      </w:r>
      <w:r w:rsidRPr="007D7EC0">
        <w:rPr>
          <w:rFonts w:cs="Abz-2 (Badr)" w:hint="cs"/>
          <w:color w:val="0070C0"/>
          <w:spacing w:val="-2"/>
          <w:sz w:val="28"/>
          <w:szCs w:val="28"/>
          <w:rtl/>
          <w:lang w:bidi="ar"/>
        </w:rPr>
        <w:t>ُ</w:t>
      </w:r>
      <w:r w:rsidRPr="00CD3964">
        <w:rPr>
          <w:rFonts w:cs="Abz-2 (Badr)"/>
          <w:color w:val="0070C0"/>
          <w:spacing w:val="-2"/>
          <w:sz w:val="28"/>
          <w:szCs w:val="28"/>
          <w:rtl/>
          <w:lang w:bidi="ar"/>
        </w:rPr>
        <w:t>مّ</w:t>
      </w:r>
      <w:r w:rsidRPr="007D7EC0">
        <w:rPr>
          <w:rFonts w:cs="Abz-2 (Badr)" w:hint="cs"/>
          <w:color w:val="0070C0"/>
          <w:spacing w:val="-2"/>
          <w:sz w:val="28"/>
          <w:szCs w:val="28"/>
          <w:rtl/>
          <w:lang w:bidi="ar"/>
        </w:rPr>
        <w:t>،</w:t>
      </w:r>
      <w:r w:rsidRPr="00CD3964">
        <w:rPr>
          <w:rFonts w:cs="Abz-2 (Badr)"/>
          <w:color w:val="0070C0"/>
          <w:spacing w:val="-2"/>
          <w:sz w:val="28"/>
          <w:szCs w:val="28"/>
          <w:rtl/>
          <w:lang w:bidi="ar"/>
        </w:rPr>
        <w:t>‌ فلأنّها بانتفاء أحدها يخرج عن أهليّة الولاية</w:t>
      </w:r>
      <w:r w:rsidRPr="007D7EC0">
        <w:rPr>
          <w:rFonts w:cs="Abz-2 (Badr)" w:hint="cs"/>
          <w:color w:val="0070C0"/>
          <w:spacing w:val="-2"/>
          <w:sz w:val="28"/>
          <w:szCs w:val="28"/>
          <w:rtl/>
          <w:lang w:bidi="ar"/>
        </w:rPr>
        <w:t xml:space="preserve">... </w:t>
      </w:r>
      <w:r w:rsidRPr="00CD3964">
        <w:rPr>
          <w:rFonts w:cs="Abz-2 (Badr)"/>
          <w:color w:val="0070C0"/>
          <w:spacing w:val="-2"/>
          <w:sz w:val="28"/>
          <w:szCs w:val="28"/>
          <w:rtl/>
          <w:lang w:bidi="ar"/>
        </w:rPr>
        <w:t>و</w:t>
      </w:r>
      <w:r w:rsidRPr="007D7EC0">
        <w:rPr>
          <w:rFonts w:cs="Abz-2 (Badr)" w:hint="cs"/>
          <w:color w:val="0070C0"/>
          <w:spacing w:val="-2"/>
          <w:sz w:val="28"/>
          <w:szCs w:val="28"/>
          <w:rtl/>
          <w:lang w:bidi="ar"/>
        </w:rPr>
        <w:t>ل</w:t>
      </w:r>
      <w:r w:rsidRPr="00CD3964">
        <w:rPr>
          <w:rFonts w:cs="Abz-2 (Badr)"/>
          <w:color w:val="0070C0"/>
          <w:spacing w:val="-2"/>
          <w:sz w:val="28"/>
          <w:szCs w:val="28"/>
          <w:rtl/>
          <w:lang w:bidi="ar"/>
        </w:rPr>
        <w:t>ابدّ للمجنونة ممّن يحضنها</w:t>
      </w:r>
      <w:r w:rsidRPr="007D7EC0">
        <w:rPr>
          <w:rFonts w:cs="Abz-2 (Badr)" w:hint="cs"/>
          <w:color w:val="0070C0"/>
          <w:spacing w:val="-2"/>
          <w:sz w:val="28"/>
          <w:szCs w:val="28"/>
          <w:rtl/>
          <w:lang w:bidi="ar"/>
        </w:rPr>
        <w:t>؛</w:t>
      </w:r>
      <w:r w:rsidRPr="00CD3964">
        <w:rPr>
          <w:rFonts w:cs="Abz-2 (Badr)"/>
          <w:color w:val="0070C0"/>
          <w:spacing w:val="-2"/>
          <w:sz w:val="28"/>
          <w:szCs w:val="28"/>
          <w:rtl/>
          <w:lang w:bidi="ar"/>
        </w:rPr>
        <w:t xml:space="preserve"> على أنّ‌ الأولى اشتراط الأمانة فيها كما اعتبره الشيخ وجماعة، ولا أمانة لكافرة ولا مجنونة.</w:t>
      </w:r>
      <w:r w:rsidRPr="007D7EC0">
        <w:rPr>
          <w:rFonts w:cs="Abz-2 (Badr)" w:hint="cs"/>
          <w:color w:val="0070C0"/>
          <w:spacing w:val="-2"/>
          <w:sz w:val="28"/>
          <w:szCs w:val="28"/>
          <w:rtl/>
          <w:lang w:bidi="ar"/>
        </w:rPr>
        <w:t>»</w:t>
      </w:r>
      <w:r w:rsidRPr="00A01D2F">
        <w:rPr>
          <w:rFonts w:cs="Abz-2 (Badr)"/>
          <w:color w:val="000000" w:themeColor="text1"/>
          <w:sz w:val="28"/>
          <w:szCs w:val="28"/>
          <w:vertAlign w:val="superscript"/>
          <w:rtl/>
          <w:lang w:bidi="ar"/>
        </w:rPr>
        <w:footnoteReference w:id="2"/>
      </w:r>
    </w:p>
    <w:p w14:paraId="50105585" w14:textId="77777777" w:rsidR="004333C8" w:rsidRPr="007D7EC0" w:rsidRDefault="004333C8" w:rsidP="004333C8">
      <w:pPr>
        <w:pStyle w:val="NormalWeb"/>
        <w:widowControl w:val="0"/>
        <w:bidi/>
        <w:spacing w:before="0" w:beforeAutospacing="0" w:after="0" w:afterAutospacing="0" w:line="254" w:lineRule="auto"/>
        <w:ind w:firstLine="284"/>
        <w:jc w:val="both"/>
        <w:rPr>
          <w:rFonts w:cs="Abz-2 (Badr)"/>
          <w:color w:val="0070C0"/>
          <w:sz w:val="28"/>
          <w:szCs w:val="28"/>
          <w:rtl/>
          <w:lang w:bidi="ar"/>
        </w:rPr>
      </w:pPr>
      <w:r>
        <w:rPr>
          <w:rFonts w:cs="Abz-2 (Badr)" w:hint="cs"/>
          <w:color w:val="000000" w:themeColor="text1"/>
          <w:sz w:val="28"/>
          <w:szCs w:val="28"/>
          <w:rtl/>
          <w:lang w:bidi="fa-IR"/>
        </w:rPr>
        <w:t>اما صاحب جواهر بعد از اين که ادعای عدم خلاف در خصوص اعتبار عقل در حضانت مادر کرده است</w:t>
      </w:r>
      <w:r w:rsidRPr="00A01D2F">
        <w:rPr>
          <w:rFonts w:cs="Abz-2 (Badr)"/>
          <w:color w:val="000000" w:themeColor="text1"/>
          <w:sz w:val="28"/>
          <w:szCs w:val="28"/>
          <w:vertAlign w:val="superscript"/>
          <w:rtl/>
          <w:lang w:bidi="ar"/>
        </w:rPr>
        <w:footnoteReference w:id="3"/>
      </w:r>
      <w:r>
        <w:rPr>
          <w:rFonts w:cs="Abz-2 (Badr)" w:hint="cs"/>
          <w:color w:val="000000" w:themeColor="text1"/>
          <w:sz w:val="28"/>
          <w:szCs w:val="28"/>
          <w:rtl/>
          <w:lang w:bidi="fa-IR"/>
        </w:rPr>
        <w:t>، در اشکال بر مدعای شهيد ثانی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7D7EC0">
        <w:rPr>
          <w:rFonts w:cs="Abz-2 (Badr)" w:hint="cs"/>
          <w:color w:val="0070C0"/>
          <w:sz w:val="28"/>
          <w:szCs w:val="28"/>
          <w:rtl/>
          <w:lang w:bidi="fa-IR"/>
        </w:rPr>
        <w:t>«</w:t>
      </w:r>
      <w:r w:rsidRPr="007D7EC0">
        <w:rPr>
          <w:rFonts w:cs="Abz-2 (Badr)"/>
          <w:color w:val="0070C0"/>
          <w:sz w:val="28"/>
          <w:szCs w:val="28"/>
          <w:rtl/>
          <w:lang w:bidi="ar"/>
        </w:rPr>
        <w:t>فيه</w:t>
      </w:r>
      <w:r w:rsidRPr="007D7EC0">
        <w:rPr>
          <w:rFonts w:cs="Abz-2 (Badr)" w:hint="cs"/>
          <w:color w:val="0070C0"/>
          <w:sz w:val="28"/>
          <w:szCs w:val="28"/>
          <w:rtl/>
          <w:lang w:bidi="ar"/>
        </w:rPr>
        <w:t>:</w:t>
      </w:r>
      <w:r w:rsidRPr="007D7EC0">
        <w:rPr>
          <w:rFonts w:cs="Abz-2 (Badr)"/>
          <w:color w:val="0070C0"/>
          <w:sz w:val="28"/>
          <w:szCs w:val="28"/>
          <w:rtl/>
          <w:lang w:bidi="ar"/>
        </w:rPr>
        <w:t xml:space="preserve"> أن</w:t>
      </w:r>
      <w:r w:rsidRPr="007D7EC0">
        <w:rPr>
          <w:rFonts w:cs="Abz-2 (Badr)" w:hint="cs"/>
          <w:color w:val="0070C0"/>
          <w:sz w:val="28"/>
          <w:szCs w:val="28"/>
          <w:rtl/>
          <w:lang w:bidi="ar"/>
        </w:rPr>
        <w:t>ّ</w:t>
      </w:r>
      <w:r w:rsidRPr="007D7EC0">
        <w:rPr>
          <w:rFonts w:cs="Abz-2 (Badr)"/>
          <w:color w:val="0070C0"/>
          <w:sz w:val="28"/>
          <w:szCs w:val="28"/>
          <w:rtl/>
          <w:lang w:bidi="ar"/>
        </w:rPr>
        <w:t xml:space="preserve"> الأدواري وإن لم يكن نادرا</w:t>
      </w:r>
      <w:r w:rsidRPr="007D7EC0">
        <w:rPr>
          <w:rFonts w:cs="Abz-2 (Badr)" w:hint="cs"/>
          <w:color w:val="0070C0"/>
          <w:sz w:val="28"/>
          <w:szCs w:val="28"/>
          <w:rtl/>
          <w:lang w:bidi="ar"/>
        </w:rPr>
        <w:t>ً</w:t>
      </w:r>
      <w:r w:rsidRPr="007D7EC0">
        <w:rPr>
          <w:rFonts w:cs="Abz-2 (Badr)"/>
          <w:color w:val="0070C0"/>
          <w:sz w:val="28"/>
          <w:szCs w:val="28"/>
          <w:rtl/>
          <w:lang w:bidi="ar"/>
        </w:rPr>
        <w:t xml:space="preserve"> لا يمنع جريان حكم المعاملة حال عدمه، كما في نظائر المقام، لإطلاق الأدل</w:t>
      </w:r>
      <w:r>
        <w:rPr>
          <w:rFonts w:cs="Abz-2 (Badr)" w:hint="cs"/>
          <w:color w:val="0070C0"/>
          <w:sz w:val="28"/>
          <w:szCs w:val="28"/>
          <w:rtl/>
          <w:lang w:bidi="ar"/>
        </w:rPr>
        <w:t>ّ</w:t>
      </w:r>
      <w:r w:rsidRPr="007D7EC0">
        <w:rPr>
          <w:rFonts w:cs="Abz-2 (Badr)"/>
          <w:color w:val="0070C0"/>
          <w:sz w:val="28"/>
          <w:szCs w:val="28"/>
          <w:rtl/>
          <w:lang w:bidi="ar"/>
        </w:rPr>
        <w:t>ة</w:t>
      </w:r>
      <w:r w:rsidRPr="007D7EC0">
        <w:rPr>
          <w:rFonts w:cs="Abz-2 (Badr)" w:hint="cs"/>
          <w:color w:val="0070C0"/>
          <w:sz w:val="28"/>
          <w:szCs w:val="28"/>
          <w:rtl/>
          <w:lang w:bidi="ar"/>
        </w:rPr>
        <w:t>.</w:t>
      </w:r>
    </w:p>
    <w:p w14:paraId="1DADC269" w14:textId="77777777" w:rsidR="004333C8" w:rsidRPr="007D7EC0" w:rsidRDefault="004333C8" w:rsidP="004333C8">
      <w:pPr>
        <w:pStyle w:val="NormalWeb"/>
        <w:widowControl w:val="0"/>
        <w:bidi/>
        <w:spacing w:before="0" w:beforeAutospacing="0" w:after="0" w:afterAutospacing="0" w:line="254" w:lineRule="auto"/>
        <w:ind w:firstLine="284"/>
        <w:jc w:val="both"/>
        <w:rPr>
          <w:rFonts w:cs="Abz-2 (Badr)"/>
          <w:color w:val="0070C0"/>
          <w:sz w:val="28"/>
          <w:szCs w:val="28"/>
          <w:rtl/>
          <w:lang w:bidi="ar"/>
        </w:rPr>
      </w:pPr>
      <w:r w:rsidRPr="007D7EC0">
        <w:rPr>
          <w:rFonts w:cs="Abz-2 (Badr)"/>
          <w:color w:val="0070C0"/>
          <w:sz w:val="28"/>
          <w:szCs w:val="28"/>
          <w:rtl/>
          <w:lang w:bidi="ar"/>
        </w:rPr>
        <w:lastRenderedPageBreak/>
        <w:t>بل قد يقال إن لم يكن إجماعا</w:t>
      </w:r>
      <w:r w:rsidRPr="007D7EC0">
        <w:rPr>
          <w:rFonts w:cs="Abz-2 (Badr)" w:hint="cs"/>
          <w:color w:val="0070C0"/>
          <w:sz w:val="28"/>
          <w:szCs w:val="28"/>
          <w:rtl/>
          <w:lang w:bidi="ar"/>
        </w:rPr>
        <w:t>ً</w:t>
      </w:r>
      <w:r w:rsidRPr="007D7EC0">
        <w:rPr>
          <w:rFonts w:cs="Abz-2 (Badr)"/>
          <w:color w:val="0070C0"/>
          <w:sz w:val="28"/>
          <w:szCs w:val="28"/>
          <w:rtl/>
          <w:lang w:bidi="ar"/>
        </w:rPr>
        <w:t>: إن</w:t>
      </w:r>
      <w:r w:rsidRPr="007D7EC0">
        <w:rPr>
          <w:rFonts w:cs="Abz-2 (Badr)" w:hint="cs"/>
          <w:color w:val="0070C0"/>
          <w:sz w:val="28"/>
          <w:szCs w:val="28"/>
          <w:rtl/>
          <w:lang w:bidi="ar"/>
        </w:rPr>
        <w:t>ّ</w:t>
      </w:r>
      <w:r w:rsidRPr="007D7EC0">
        <w:rPr>
          <w:rFonts w:cs="Abz-2 (Badr)"/>
          <w:color w:val="0070C0"/>
          <w:sz w:val="28"/>
          <w:szCs w:val="28"/>
          <w:rtl/>
          <w:lang w:bidi="ar"/>
        </w:rPr>
        <w:t xml:space="preserve"> الجنون وإن كان مطبقا</w:t>
      </w:r>
      <w:r w:rsidRPr="007D7EC0">
        <w:rPr>
          <w:rFonts w:cs="Abz-2 (Badr)" w:hint="cs"/>
          <w:color w:val="0070C0"/>
          <w:sz w:val="28"/>
          <w:szCs w:val="28"/>
          <w:rtl/>
          <w:lang w:bidi="ar"/>
        </w:rPr>
        <w:t>ً</w:t>
      </w:r>
      <w:r w:rsidRPr="007D7EC0">
        <w:rPr>
          <w:rFonts w:cs="Abz-2 (Badr)"/>
          <w:color w:val="0070C0"/>
          <w:sz w:val="28"/>
          <w:szCs w:val="28"/>
          <w:rtl/>
          <w:lang w:bidi="ar"/>
        </w:rPr>
        <w:t xml:space="preserve"> لا يبطل حق</w:t>
      </w:r>
      <w:r w:rsidRPr="007D7EC0">
        <w:rPr>
          <w:rFonts w:cs="Abz-2 (Badr)" w:hint="cs"/>
          <w:color w:val="0070C0"/>
          <w:sz w:val="28"/>
          <w:szCs w:val="28"/>
          <w:rtl/>
          <w:lang w:bidi="ar"/>
        </w:rPr>
        <w:t>ّ</w:t>
      </w:r>
      <w:r w:rsidRPr="007D7EC0">
        <w:rPr>
          <w:rFonts w:cs="Abz-2 (Badr)"/>
          <w:color w:val="0070C0"/>
          <w:sz w:val="28"/>
          <w:szCs w:val="28"/>
          <w:rtl/>
          <w:lang w:bidi="ar"/>
        </w:rPr>
        <w:t>ها من الحضانة وإن انتقل الأمر حينئذ</w:t>
      </w:r>
      <w:r w:rsidRPr="007D7EC0">
        <w:rPr>
          <w:rFonts w:cs="Abz-2 (Badr)" w:hint="cs"/>
          <w:color w:val="0070C0"/>
          <w:sz w:val="28"/>
          <w:szCs w:val="28"/>
          <w:rtl/>
          <w:lang w:bidi="ar"/>
        </w:rPr>
        <w:t>ٍ</w:t>
      </w:r>
      <w:r w:rsidRPr="007D7EC0">
        <w:rPr>
          <w:rFonts w:cs="Abz-2 (Badr)"/>
          <w:color w:val="0070C0"/>
          <w:sz w:val="28"/>
          <w:szCs w:val="28"/>
          <w:rtl/>
          <w:lang w:bidi="ar"/>
        </w:rPr>
        <w:t xml:space="preserve"> في تدبير ذلك إلى ولي</w:t>
      </w:r>
      <w:r w:rsidRPr="007D7EC0">
        <w:rPr>
          <w:rFonts w:cs="Abz-2 (Badr)" w:hint="cs"/>
          <w:color w:val="0070C0"/>
          <w:sz w:val="28"/>
          <w:szCs w:val="28"/>
          <w:rtl/>
          <w:lang w:bidi="ar"/>
        </w:rPr>
        <w:t>ّ</w:t>
      </w:r>
      <w:r w:rsidRPr="007D7EC0">
        <w:rPr>
          <w:rFonts w:cs="Abz-2 (Badr)"/>
          <w:color w:val="0070C0"/>
          <w:sz w:val="28"/>
          <w:szCs w:val="28"/>
          <w:rtl/>
          <w:lang w:bidi="ar"/>
        </w:rPr>
        <w:t>ها كباقي الأ</w:t>
      </w:r>
      <w:r w:rsidRPr="007D7EC0">
        <w:rPr>
          <w:rFonts w:cs="Abz-2 (Badr)" w:hint="cs"/>
          <w:color w:val="0070C0"/>
          <w:sz w:val="28"/>
          <w:szCs w:val="28"/>
          <w:rtl/>
          <w:lang w:bidi="ar"/>
        </w:rPr>
        <w:t>ُ</w:t>
      </w:r>
      <w:r w:rsidRPr="007D7EC0">
        <w:rPr>
          <w:rFonts w:cs="Abz-2 (Badr)"/>
          <w:color w:val="0070C0"/>
          <w:sz w:val="28"/>
          <w:szCs w:val="28"/>
          <w:rtl/>
          <w:lang w:bidi="ar"/>
        </w:rPr>
        <w:t>مور الراجعة إليها</w:t>
      </w:r>
      <w:r w:rsidRPr="007D7EC0">
        <w:rPr>
          <w:rFonts w:cs="Abz-2 (Badr)" w:hint="cs"/>
          <w:color w:val="0070C0"/>
          <w:sz w:val="28"/>
          <w:szCs w:val="28"/>
          <w:rtl/>
          <w:lang w:bidi="ar"/>
        </w:rPr>
        <w:t>.</w:t>
      </w:r>
    </w:p>
    <w:p w14:paraId="2E07E99F" w14:textId="77777777" w:rsidR="004333C8" w:rsidRPr="007D7EC0" w:rsidRDefault="004333C8" w:rsidP="004333C8">
      <w:pPr>
        <w:pStyle w:val="NormalWeb"/>
        <w:widowControl w:val="0"/>
        <w:bidi/>
        <w:spacing w:before="0" w:beforeAutospacing="0" w:after="0" w:afterAutospacing="0" w:line="254" w:lineRule="auto"/>
        <w:ind w:firstLine="284"/>
        <w:jc w:val="both"/>
        <w:rPr>
          <w:rFonts w:cs="Abz-2 (Badr)"/>
          <w:color w:val="000000" w:themeColor="text1"/>
          <w:sz w:val="28"/>
          <w:szCs w:val="28"/>
          <w:rtl/>
          <w:lang w:bidi="fa-IR"/>
        </w:rPr>
      </w:pPr>
      <w:r w:rsidRPr="007D7EC0">
        <w:rPr>
          <w:rFonts w:cs="Abz-2 (Badr)"/>
          <w:color w:val="0070C0"/>
          <w:spacing w:val="-2"/>
          <w:sz w:val="28"/>
          <w:szCs w:val="28"/>
          <w:rtl/>
          <w:lang w:bidi="ar"/>
        </w:rPr>
        <w:t>ولعل</w:t>
      </w:r>
      <w:r>
        <w:rPr>
          <w:rFonts w:cs="Abz-2 (Badr)" w:hint="cs"/>
          <w:color w:val="0070C0"/>
          <w:spacing w:val="-2"/>
          <w:sz w:val="28"/>
          <w:szCs w:val="28"/>
          <w:rtl/>
          <w:lang w:bidi="ar"/>
        </w:rPr>
        <w:t>ّ</w:t>
      </w:r>
      <w:r w:rsidRPr="007D7EC0">
        <w:rPr>
          <w:rFonts w:cs="Abz-2 (Badr)"/>
          <w:color w:val="0070C0"/>
          <w:spacing w:val="-2"/>
          <w:sz w:val="28"/>
          <w:szCs w:val="28"/>
          <w:rtl/>
          <w:lang w:bidi="ar"/>
        </w:rPr>
        <w:t>ه لذا ترك المصن</w:t>
      </w:r>
      <w:r w:rsidRPr="007D7EC0">
        <w:rPr>
          <w:rFonts w:cs="Abz-2 (Badr)" w:hint="cs"/>
          <w:color w:val="0070C0"/>
          <w:spacing w:val="-2"/>
          <w:sz w:val="28"/>
          <w:szCs w:val="28"/>
          <w:rtl/>
          <w:lang w:bidi="ar"/>
        </w:rPr>
        <w:t>ّ</w:t>
      </w:r>
      <w:r w:rsidRPr="007D7EC0">
        <w:rPr>
          <w:rFonts w:cs="Abz-2 (Badr)"/>
          <w:color w:val="0070C0"/>
          <w:spacing w:val="-2"/>
          <w:sz w:val="28"/>
          <w:szCs w:val="28"/>
          <w:rtl/>
          <w:lang w:bidi="ar"/>
        </w:rPr>
        <w:t>ف اشتراطه، وكأن</w:t>
      </w:r>
      <w:r w:rsidRPr="007D7EC0">
        <w:rPr>
          <w:rFonts w:cs="Abz-2 (Badr)" w:hint="cs"/>
          <w:color w:val="0070C0"/>
          <w:spacing w:val="-2"/>
          <w:sz w:val="28"/>
          <w:szCs w:val="28"/>
          <w:rtl/>
          <w:lang w:bidi="ar"/>
        </w:rPr>
        <w:t>ّ</w:t>
      </w:r>
      <w:r w:rsidRPr="007D7EC0">
        <w:rPr>
          <w:rFonts w:cs="Abz-2 (Badr)"/>
          <w:color w:val="0070C0"/>
          <w:spacing w:val="-2"/>
          <w:sz w:val="28"/>
          <w:szCs w:val="28"/>
          <w:rtl/>
          <w:lang w:bidi="ar"/>
        </w:rPr>
        <w:t xml:space="preserve"> من اشترطه نظر إلى كون الحضانة ولاية والمجنون معزول عنها، وقد عرفت ما فيه.</w:t>
      </w:r>
      <w:r w:rsidRPr="007D7EC0">
        <w:rPr>
          <w:rFonts w:cs="Abz-2 (Badr)" w:hint="cs"/>
          <w:color w:val="0070C0"/>
          <w:spacing w:val="-2"/>
          <w:sz w:val="28"/>
          <w:szCs w:val="28"/>
          <w:rtl/>
          <w:lang w:bidi="ar"/>
        </w:rPr>
        <w:t>»</w:t>
      </w:r>
      <w:r w:rsidRPr="00A01D2F">
        <w:rPr>
          <w:rFonts w:cs="Abz-2 (Badr)"/>
          <w:color w:val="000000" w:themeColor="text1"/>
          <w:sz w:val="28"/>
          <w:szCs w:val="28"/>
          <w:vertAlign w:val="superscript"/>
          <w:rtl/>
          <w:lang w:bidi="ar"/>
        </w:rPr>
        <w:footnoteReference w:id="4"/>
      </w:r>
    </w:p>
    <w:p w14:paraId="009A4A70" w14:textId="77777777" w:rsidR="004333C8" w:rsidRDefault="004333C8" w:rsidP="004333C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اشکال فرمايش صاحب جواهر اين است که اولاً: جنون چه ادواری باشد و چه اطباقی، مانع از حضانت است، زيرا معلوم است که در فرض جنون حاضن، محضون در معرض خطر واقع می</w:t>
      </w:r>
      <w:r>
        <w:rPr>
          <w:rFonts w:cs="Abz-2 (Badr)"/>
          <w:color w:val="000000" w:themeColor="text1"/>
          <w:sz w:val="28"/>
          <w:szCs w:val="28"/>
          <w:rtl/>
          <w:lang w:bidi="fa-IR"/>
        </w:rPr>
        <w:softHyphen/>
      </w:r>
      <w:r>
        <w:rPr>
          <w:rFonts w:cs="Abz-2 (Badr)" w:hint="cs"/>
          <w:color w:val="000000" w:themeColor="text1"/>
          <w:sz w:val="28"/>
          <w:szCs w:val="28"/>
          <w:rtl/>
          <w:lang w:bidi="fa-IR"/>
        </w:rPr>
        <w:t>شود و همان گونه که بارها گذشت، از آنجا که اعطاء حق حضانت از جانب شارع امتنان در حق محضون است، اطلاقی در ادله آن وجود ندارد که شامل مواردی گردد که ضرری به محضون وارد می</w:t>
      </w:r>
      <w:r>
        <w:rPr>
          <w:rFonts w:cs="Abz-2 (Badr)"/>
          <w:color w:val="000000" w:themeColor="text1"/>
          <w:sz w:val="28"/>
          <w:szCs w:val="28"/>
          <w:rtl/>
          <w:lang w:bidi="fa-IR"/>
        </w:rPr>
        <w:softHyphen/>
      </w:r>
      <w:r>
        <w:rPr>
          <w:rFonts w:cs="Abz-2 (Badr)" w:hint="cs"/>
          <w:color w:val="000000" w:themeColor="text1"/>
          <w:sz w:val="28"/>
          <w:szCs w:val="28"/>
          <w:rtl/>
          <w:lang w:bidi="fa-IR"/>
        </w:rPr>
        <w:t>شود و يا اين که محضون در معرض خطر جدّی واقع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p w14:paraId="3A265DB7" w14:textId="77777777" w:rsidR="004333C8" w:rsidRDefault="004333C8" w:rsidP="004333C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ثانياً: اعطاء حق حضانت به ولی مجنونه وجهی ندارد، زيرا همان گونه که سابقاً گفتيم، اعطای حق حضانت به پدر يا مادر به اين معنا نيست که حق داشته باشند حضانت فرزند را به فرد ديگری منتقل نمايند، بلکه مراد اين است که خود آنان برای مباشرت در حضانت فرزند دارای حق می</w:t>
      </w:r>
      <w:r>
        <w:rPr>
          <w:rFonts w:cs="Abz-2 (Badr)"/>
          <w:color w:val="000000" w:themeColor="text1"/>
          <w:sz w:val="28"/>
          <w:szCs w:val="28"/>
          <w:rtl/>
          <w:lang w:bidi="fa-IR"/>
        </w:rPr>
        <w:softHyphen/>
      </w:r>
      <w:r>
        <w:rPr>
          <w:rFonts w:cs="Abz-2 (Badr)" w:hint="cs"/>
          <w:color w:val="000000" w:themeColor="text1"/>
          <w:sz w:val="28"/>
          <w:szCs w:val="28"/>
          <w:rtl/>
          <w:lang w:bidi="fa-IR"/>
        </w:rPr>
        <w:t>باشند. بنابر اين در جايی که امکان مباشرت در حضانت برای مادر وجود نداشته باشد، وجهی برای اين که حقی برای حضانت داشته باشد، وجود ندارد تا اين که بعد از آن گفته شود: اين حق نيز به مانند حقوق ديگر توسط ولی مجنون اعمال می</w:t>
      </w:r>
      <w:r>
        <w:rPr>
          <w:rFonts w:cs="Abz-2 (Badr)"/>
          <w:color w:val="000000" w:themeColor="text1"/>
          <w:sz w:val="28"/>
          <w:szCs w:val="28"/>
          <w:rtl/>
          <w:lang w:bidi="fa-IR"/>
        </w:rPr>
        <w:softHyphen/>
      </w:r>
      <w:r>
        <w:rPr>
          <w:rFonts w:cs="Abz-2 (Badr)" w:hint="cs"/>
          <w:color w:val="000000" w:themeColor="text1"/>
          <w:sz w:val="28"/>
          <w:szCs w:val="28"/>
          <w:rtl/>
          <w:lang w:bidi="fa-IR"/>
        </w:rPr>
        <w:t>گردد.</w:t>
      </w:r>
    </w:p>
    <w:p w14:paraId="6CE603B4" w14:textId="77777777" w:rsidR="004333C8" w:rsidRDefault="004333C8" w:rsidP="004333C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ثالثاً: عجيب اين است که صاحب جواهر در موارد مشابه مثل کفر و رقّيت، برای اثبات عدم حضانت مادر به اين مطلب استناد کرده است که چون حضانت نوعی ولايت است و کافر و رق ولايتی بر مسلم و حرّ ندارند، پس حق حضانت را دارا نمی</w:t>
      </w:r>
      <w:r>
        <w:rPr>
          <w:rFonts w:cs="Abz-2 (Badr)"/>
          <w:color w:val="000000" w:themeColor="text1"/>
          <w:sz w:val="28"/>
          <w:szCs w:val="28"/>
          <w:rtl/>
          <w:lang w:bidi="fa-IR"/>
        </w:rPr>
        <w:softHyphen/>
      </w:r>
      <w:r>
        <w:rPr>
          <w:rFonts w:cs="Abz-2 (Badr)" w:hint="cs"/>
          <w:color w:val="000000" w:themeColor="text1"/>
          <w:sz w:val="28"/>
          <w:szCs w:val="28"/>
          <w:rtl/>
          <w:lang w:bidi="fa-IR"/>
        </w:rPr>
        <w:t>باشند، اما در خصوص مجنون اين استدلال را صحيح نمی</w:t>
      </w:r>
      <w:r>
        <w:rPr>
          <w:rFonts w:cs="Abz-2 (Badr)"/>
          <w:color w:val="000000" w:themeColor="text1"/>
          <w:sz w:val="28"/>
          <w:szCs w:val="28"/>
          <w:rtl/>
          <w:lang w:bidi="fa-IR"/>
        </w:rPr>
        <w:softHyphen/>
      </w:r>
      <w:r>
        <w:rPr>
          <w:rFonts w:cs="Abz-2 (Badr)" w:hint="cs"/>
          <w:color w:val="000000" w:themeColor="text1"/>
          <w:sz w:val="28"/>
          <w:szCs w:val="28"/>
          <w:rtl/>
          <w:lang w:bidi="fa-IR"/>
        </w:rPr>
        <w:t>داند.</w:t>
      </w:r>
    </w:p>
    <w:p w14:paraId="4F290DF8" w14:textId="77777777" w:rsidR="004333C8" w:rsidRPr="00EB1D69" w:rsidRDefault="004333C8" w:rsidP="004333C8">
      <w:pPr>
        <w:pStyle w:val="NormalWeb"/>
        <w:widowControl w:val="0"/>
        <w:bidi/>
        <w:spacing w:before="0" w:beforeAutospacing="0" w:after="0" w:afterAutospacing="0" w:line="257" w:lineRule="auto"/>
        <w:ind w:firstLine="284"/>
        <w:jc w:val="both"/>
        <w:rPr>
          <w:rFonts w:cs="Abz-2 (Badr)"/>
          <w:color w:val="000000" w:themeColor="text1"/>
          <w:sz w:val="28"/>
          <w:szCs w:val="28"/>
          <w:rtl/>
        </w:rPr>
      </w:pPr>
      <w:r>
        <w:rPr>
          <w:rFonts w:cs="Abz-2 (Badr)" w:hint="cs"/>
          <w:color w:val="000000" w:themeColor="text1"/>
          <w:sz w:val="28"/>
          <w:szCs w:val="28"/>
          <w:rtl/>
          <w:lang w:bidi="fa-IR"/>
        </w:rPr>
        <w:t>با توجه به استدلالاتی که گذشت، معلوم می</w:t>
      </w:r>
      <w:r>
        <w:rPr>
          <w:rFonts w:cs="Abz-2 (Badr)"/>
          <w:color w:val="000000" w:themeColor="text1"/>
          <w:sz w:val="28"/>
          <w:szCs w:val="28"/>
          <w:rtl/>
          <w:lang w:bidi="fa-IR"/>
        </w:rPr>
        <w:softHyphen/>
      </w:r>
      <w:r>
        <w:rPr>
          <w:rFonts w:cs="Abz-2 (Badr)" w:hint="cs"/>
          <w:color w:val="000000" w:themeColor="text1"/>
          <w:sz w:val="28"/>
          <w:szCs w:val="28"/>
          <w:rtl/>
          <w:lang w:bidi="fa-IR"/>
        </w:rPr>
        <w:t>شود که جنون همان گونه که در مادر سبب سقوط حق حضانت وی می</w:t>
      </w:r>
      <w:r>
        <w:rPr>
          <w:rFonts w:cs="Abz-2 (Badr)"/>
          <w:color w:val="000000" w:themeColor="text1"/>
          <w:sz w:val="28"/>
          <w:szCs w:val="28"/>
          <w:rtl/>
          <w:lang w:bidi="fa-IR"/>
        </w:rPr>
        <w:softHyphen/>
      </w:r>
      <w:r>
        <w:rPr>
          <w:rFonts w:cs="Abz-2 (Badr)" w:hint="cs"/>
          <w:color w:val="000000" w:themeColor="text1"/>
          <w:sz w:val="28"/>
          <w:szCs w:val="28"/>
          <w:rtl/>
          <w:lang w:bidi="fa-IR"/>
        </w:rPr>
        <w:t>گردد، در پدر نيز حق حضانت وی را ساقط می</w:t>
      </w:r>
      <w:r>
        <w:rPr>
          <w:rFonts w:cs="Abz-2 (Badr)"/>
          <w:color w:val="000000" w:themeColor="text1"/>
          <w:sz w:val="28"/>
          <w:szCs w:val="28"/>
          <w:rtl/>
          <w:lang w:bidi="fa-IR"/>
        </w:rPr>
        <w:softHyphen/>
      </w:r>
      <w:r>
        <w:rPr>
          <w:rFonts w:cs="Abz-2 (Badr)" w:hint="cs"/>
          <w:color w:val="000000" w:themeColor="text1"/>
          <w:sz w:val="28"/>
          <w:szCs w:val="28"/>
          <w:rtl/>
          <w:lang w:bidi="fa-IR"/>
        </w:rPr>
        <w:t>گرداند.</w:t>
      </w:r>
    </w:p>
    <w:p w14:paraId="7509CD6A" w14:textId="77777777" w:rsidR="004333C8" w:rsidRPr="001A709A" w:rsidRDefault="004333C8" w:rsidP="004333C8">
      <w:pPr>
        <w:pStyle w:val="NormalWeb"/>
        <w:widowControl w:val="0"/>
        <w:bidi/>
        <w:spacing w:before="0" w:beforeAutospacing="0" w:after="0" w:afterAutospacing="0" w:line="257" w:lineRule="auto"/>
        <w:ind w:firstLine="284"/>
        <w:jc w:val="both"/>
        <w:rPr>
          <w:rFonts w:cs="Abz-2 (Badr)"/>
          <w:color w:val="000000" w:themeColor="text1"/>
          <w:sz w:val="28"/>
          <w:szCs w:val="28"/>
          <w:lang w:bidi="fa-IR"/>
        </w:rPr>
      </w:pPr>
    </w:p>
    <w:p w14:paraId="358854CE" w14:textId="2276C044" w:rsidR="0027088A" w:rsidRPr="002E7166" w:rsidRDefault="0027088A" w:rsidP="002E7166"/>
    <w:sectPr w:rsidR="0027088A" w:rsidRPr="002E7166"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C0993" w14:textId="77777777" w:rsidR="00716D41" w:rsidRDefault="00716D41" w:rsidP="00F71127">
      <w:pPr>
        <w:spacing w:after="0" w:line="240" w:lineRule="auto"/>
      </w:pPr>
      <w:r>
        <w:separator/>
      </w:r>
    </w:p>
  </w:endnote>
  <w:endnote w:type="continuationSeparator" w:id="0">
    <w:p w14:paraId="3924AB07" w14:textId="77777777" w:rsidR="00716D41" w:rsidRDefault="00716D4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F5129" w14:textId="77777777" w:rsidR="008D41F7" w:rsidRDefault="008D4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5014" w14:textId="77777777" w:rsidR="008D41F7" w:rsidRDefault="008D4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5468C" w14:textId="77777777" w:rsidR="00716D41" w:rsidRDefault="00716D41" w:rsidP="00EE25C0">
      <w:pPr>
        <w:bidi/>
        <w:spacing w:after="0" w:line="240" w:lineRule="auto"/>
      </w:pPr>
      <w:r>
        <w:separator/>
      </w:r>
    </w:p>
  </w:footnote>
  <w:footnote w:type="continuationSeparator" w:id="0">
    <w:p w14:paraId="7961D691" w14:textId="77777777" w:rsidR="00716D41" w:rsidRDefault="00716D41" w:rsidP="00F71127">
      <w:pPr>
        <w:bidi/>
        <w:spacing w:after="0" w:line="240" w:lineRule="auto"/>
      </w:pPr>
      <w:r>
        <w:continuationSeparator/>
      </w:r>
    </w:p>
  </w:footnote>
  <w:footnote w:id="1">
    <w:p w14:paraId="141A520C" w14:textId="77777777" w:rsidR="004333C8" w:rsidRPr="002A4C70" w:rsidRDefault="004333C8" w:rsidP="004333C8">
      <w:pPr>
        <w:pStyle w:val="FootnoteText"/>
        <w:bidi/>
        <w:jc w:val="both"/>
        <w:rPr>
          <w:rFonts w:cs="Abz-2 (Badr)"/>
          <w:rtl/>
          <w:lang w:bidi="fa-IR"/>
        </w:rPr>
      </w:pPr>
      <w:r w:rsidRPr="002A4C70">
        <w:rPr>
          <w:rStyle w:val="FootnoteReference"/>
          <w:rFonts w:cs="Abz-2 (Badr)"/>
          <w:vertAlign w:val="baseline"/>
        </w:rPr>
        <w:footnoteRef/>
      </w:r>
      <w:r w:rsidRPr="002A4C70">
        <w:rPr>
          <w:rFonts w:cs="Abz-2 (Badr)"/>
        </w:rPr>
        <w:t xml:space="preserve"> </w:t>
      </w:r>
      <w:r w:rsidRPr="002A4C70">
        <w:rPr>
          <w:rFonts w:cs="Abz-2 (Badr)" w:hint="cs"/>
          <w:rtl/>
        </w:rPr>
        <w:t xml:space="preserve">ـ </w:t>
      </w:r>
      <w:r>
        <w:rPr>
          <w:rFonts w:cs="Abz-2 (Badr)" w:hint="cs"/>
          <w:rtl/>
        </w:rPr>
        <w:t>مسالك</w:t>
      </w:r>
      <w:r w:rsidRPr="002A4C70">
        <w:rPr>
          <w:rFonts w:cs="Abz-2 (Badr)" w:hint="cs"/>
          <w:rtl/>
        </w:rPr>
        <w:t>،</w:t>
      </w:r>
      <w:r>
        <w:rPr>
          <w:rFonts w:cs="Abz-2 (Badr)" w:hint="cs"/>
          <w:rtl/>
        </w:rPr>
        <w:t>ج8،</w:t>
      </w:r>
      <w:r w:rsidRPr="002A4C70">
        <w:rPr>
          <w:rFonts w:cs="Abz-2 (Badr)" w:hint="cs"/>
          <w:rtl/>
        </w:rPr>
        <w:t>ص423.</w:t>
      </w:r>
    </w:p>
  </w:footnote>
  <w:footnote w:id="2">
    <w:p w14:paraId="50CA579F" w14:textId="77777777" w:rsidR="004333C8" w:rsidRPr="002A4C70" w:rsidRDefault="004333C8" w:rsidP="004333C8">
      <w:pPr>
        <w:pStyle w:val="FootnoteText"/>
        <w:bidi/>
        <w:jc w:val="both"/>
        <w:rPr>
          <w:rFonts w:cs="Abz-2 (Badr)"/>
          <w:rtl/>
          <w:lang w:bidi="fa-IR"/>
        </w:rPr>
      </w:pPr>
      <w:r w:rsidRPr="002A4C70">
        <w:rPr>
          <w:rStyle w:val="FootnoteReference"/>
          <w:rFonts w:cs="Abz-2 (Badr)"/>
          <w:vertAlign w:val="baseline"/>
        </w:rPr>
        <w:footnoteRef/>
      </w:r>
      <w:r w:rsidRPr="002A4C70">
        <w:rPr>
          <w:rFonts w:cs="Abz-2 (Badr)"/>
        </w:rPr>
        <w:t xml:space="preserve"> </w:t>
      </w:r>
      <w:r w:rsidRPr="002A4C70">
        <w:rPr>
          <w:rFonts w:cs="Abz-2 (Badr)" w:hint="cs"/>
          <w:rtl/>
        </w:rPr>
        <w:t>ـ کشف اللثام،ج7،ص551.</w:t>
      </w:r>
    </w:p>
  </w:footnote>
  <w:footnote w:id="3">
    <w:p w14:paraId="7D90509D" w14:textId="77777777" w:rsidR="004333C8" w:rsidRPr="002A4C70" w:rsidRDefault="004333C8" w:rsidP="004333C8">
      <w:pPr>
        <w:pStyle w:val="FootnoteText"/>
        <w:bidi/>
        <w:jc w:val="both"/>
        <w:rPr>
          <w:rFonts w:cs="Abz-2 (Badr)"/>
          <w:rtl/>
          <w:lang w:bidi="fa-IR"/>
        </w:rPr>
      </w:pPr>
      <w:r w:rsidRPr="002A4C70">
        <w:rPr>
          <w:rStyle w:val="FootnoteReference"/>
          <w:rFonts w:cs="Abz-2 (Badr)"/>
          <w:vertAlign w:val="baseline"/>
        </w:rPr>
        <w:footnoteRef/>
      </w:r>
      <w:r w:rsidRPr="002A4C70">
        <w:rPr>
          <w:rFonts w:cs="Abz-2 (Badr)"/>
        </w:rPr>
        <w:t xml:space="preserve"> </w:t>
      </w:r>
      <w:r w:rsidRPr="002A4C70">
        <w:rPr>
          <w:rFonts w:cs="Abz-2 (Badr)" w:hint="cs"/>
          <w:rtl/>
        </w:rPr>
        <w:t>ـ جواهر،ج31،ص286.</w:t>
      </w:r>
    </w:p>
  </w:footnote>
  <w:footnote w:id="4">
    <w:p w14:paraId="24719FC8" w14:textId="77777777" w:rsidR="004333C8" w:rsidRDefault="004333C8" w:rsidP="004333C8">
      <w:pPr>
        <w:pStyle w:val="FootnoteText"/>
        <w:bidi/>
        <w:jc w:val="both"/>
        <w:rPr>
          <w:rFonts w:cs="Abz-2 (Badr)"/>
          <w:rtl/>
          <w:lang w:bidi="fa-IR"/>
        </w:rPr>
      </w:pPr>
      <w:r w:rsidRPr="002A4C70">
        <w:rPr>
          <w:rStyle w:val="FootnoteReference"/>
          <w:rFonts w:cs="Abz-2 (Badr)"/>
          <w:vertAlign w:val="baseline"/>
        </w:rPr>
        <w:footnoteRef/>
      </w:r>
      <w:r>
        <w:rPr>
          <w:rFonts w:cs="Abz-2 (Badr)"/>
        </w:rPr>
        <w:t xml:space="preserve"> </w:t>
      </w:r>
      <w:r>
        <w:rPr>
          <w:rFonts w:cs="Abz-2 (Badr)" w:hint="cs"/>
          <w:rtl/>
        </w:rPr>
        <w:t>ـ همان،ص287.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C3851" w14:textId="77777777" w:rsidR="008D41F7" w:rsidRDefault="008D4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6F28FFC2"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4333C8">
                            <w:rPr>
                              <w:rFonts w:cs="B Mehr" w:hint="cs"/>
                              <w:rtl/>
                            </w:rPr>
                            <w:t>20</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6F28FFC2"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4333C8">
                      <w:rPr>
                        <w:rFonts w:cs="B Mehr" w:hint="cs"/>
                        <w:rtl/>
                      </w:rPr>
                      <w:t>20</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1E26" w14:textId="77777777" w:rsidR="008D41F7" w:rsidRDefault="008D41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6D41"/>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1F7"/>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21718</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564</cp:revision>
  <cp:lastPrinted>2025-04-14T09:12:00Z</cp:lastPrinted>
  <dcterms:created xsi:type="dcterms:W3CDTF">2022-10-16T08:36:00Z</dcterms:created>
  <dcterms:modified xsi:type="dcterms:W3CDTF">2025-05-11T13:24:00Z</dcterms:modified>
</cp:coreProperties>
</file>